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B4C1" w14:textId="77777777" w:rsidR="00C05EEB" w:rsidRPr="00C05EEB" w:rsidRDefault="00C05EEB" w:rsidP="00C05EE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l-SI"/>
        </w:rPr>
      </w:pPr>
      <w:r w:rsidRPr="00C05EEB">
        <w:rPr>
          <w:rFonts w:ascii="Times New Roman" w:eastAsia="Times New Roman" w:hAnsi="Times New Roman" w:cs="Times New Roman"/>
          <w:b/>
          <w:i/>
          <w:iCs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1B91F" wp14:editId="15D7A27F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861695" cy="967105"/>
                <wp:effectExtent l="4445" t="4445" r="635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19983" w14:textId="77777777" w:rsidR="00C05EEB" w:rsidRPr="00D560B0" w:rsidRDefault="00C05EEB" w:rsidP="00C05EEB">
                            <w:r w:rsidRPr="00D560B0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97F1A36" wp14:editId="0C1D5E11">
                                  <wp:extent cx="716280" cy="868680"/>
                                  <wp:effectExtent l="0" t="0" r="7620" b="762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1B91F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369pt;margin-top:-9pt;width:67.85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" stroked="f">
                <v:textbox>
                  <w:txbxContent>
                    <w:p w14:paraId="0C819983" w14:textId="77777777" w:rsidR="00C05EEB" w:rsidRPr="00D560B0" w:rsidRDefault="00C05EEB" w:rsidP="00C05EEB">
                      <w:r w:rsidRPr="00D560B0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97F1A36" wp14:editId="0C1D5E11">
                            <wp:extent cx="716280" cy="868680"/>
                            <wp:effectExtent l="0" t="0" r="7620" b="762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868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05E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l-SI"/>
        </w:rPr>
        <w:t>OBČINA SOLČAVA</w:t>
      </w:r>
    </w:p>
    <w:p w14:paraId="2FE4EFBC" w14:textId="77777777" w:rsidR="00C05EEB" w:rsidRPr="00C05EEB" w:rsidRDefault="00C05EEB" w:rsidP="00C05EE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l-SI"/>
        </w:rPr>
      </w:pPr>
      <w:r w:rsidRPr="00C05EEB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l-SI"/>
        </w:rPr>
        <w:t>REŽIJSKI OBRAT</w:t>
      </w:r>
    </w:p>
    <w:p w14:paraId="7CCDCBCC" w14:textId="77777777" w:rsidR="00C05EEB" w:rsidRPr="00C05EEB" w:rsidRDefault="00C05EEB" w:rsidP="00C05EE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sl-SI"/>
        </w:rPr>
      </w:pPr>
      <w:r w:rsidRPr="00C05EEB"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sl-SI"/>
        </w:rPr>
        <w:t>Solčava 29, 3335 Solčava</w:t>
      </w:r>
    </w:p>
    <w:p w14:paraId="7E1047E8" w14:textId="77777777" w:rsidR="00C05EEB" w:rsidRPr="00C05EEB" w:rsidRDefault="00C05EEB" w:rsidP="00C05EE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sl-SI"/>
        </w:rPr>
      </w:pPr>
      <w:r w:rsidRPr="00C05EEB"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sl-SI"/>
        </w:rPr>
        <w:t xml:space="preserve">Tel &amp; </w:t>
      </w:r>
      <w:proofErr w:type="spellStart"/>
      <w:r w:rsidRPr="00C05EEB"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sl-SI"/>
        </w:rPr>
        <w:t>fax</w:t>
      </w:r>
      <w:proofErr w:type="spellEnd"/>
      <w:r w:rsidRPr="00C05EEB"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sl-SI"/>
        </w:rPr>
        <w:t xml:space="preserve"> : 03 839 27 50 &amp; 03 839 27 55</w:t>
      </w:r>
    </w:p>
    <w:p w14:paraId="51A37C00" w14:textId="77777777" w:rsidR="00C05EEB" w:rsidRPr="00C05EEB" w:rsidRDefault="00C05EEB" w:rsidP="00C05EE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8"/>
          <w:szCs w:val="24"/>
          <w:lang w:eastAsia="sl-SI"/>
        </w:rPr>
      </w:pPr>
      <w:r w:rsidRPr="00C05EEB">
        <w:rPr>
          <w:rFonts w:ascii="Times New Roman" w:eastAsia="Times New Roman" w:hAnsi="Times New Roman" w:cs="Times New Roman"/>
          <w:b/>
          <w:i/>
          <w:iCs/>
          <w:sz w:val="18"/>
          <w:szCs w:val="24"/>
          <w:lang w:eastAsia="sl-SI"/>
        </w:rPr>
        <w:t xml:space="preserve">e –mail : </w:t>
      </w:r>
      <w:hyperlink r:id="rId7" w:history="1">
        <w:r w:rsidRPr="00C05EEB">
          <w:rPr>
            <w:rFonts w:ascii="Times New Roman" w:eastAsia="Times New Roman" w:hAnsi="Times New Roman" w:cs="Times New Roman"/>
            <w:b/>
            <w:i/>
            <w:iCs/>
            <w:color w:val="0000FF"/>
            <w:sz w:val="18"/>
            <w:szCs w:val="24"/>
            <w:u w:val="single"/>
            <w:lang w:eastAsia="sl-SI"/>
          </w:rPr>
          <w:t>obcina@solcava.si</w:t>
        </w:r>
      </w:hyperlink>
      <w:r w:rsidRPr="00C05EEB">
        <w:rPr>
          <w:rFonts w:ascii="Times New Roman" w:eastAsia="Times New Roman" w:hAnsi="Times New Roman" w:cs="Times New Roman"/>
          <w:b/>
          <w:i/>
          <w:iCs/>
          <w:sz w:val="18"/>
          <w:szCs w:val="24"/>
          <w:lang w:eastAsia="sl-SI"/>
        </w:rPr>
        <w:t xml:space="preserve"> </w:t>
      </w:r>
    </w:p>
    <w:p w14:paraId="07D8FB6C" w14:textId="77777777" w:rsidR="00C05EEB" w:rsidRPr="00C05EEB" w:rsidRDefault="00C05EEB" w:rsidP="00C05EEB">
      <w:pPr>
        <w:pBdr>
          <w:bottom w:val="single" w:sz="4" w:space="2" w:color="auto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sl-SI"/>
        </w:rPr>
      </w:pPr>
    </w:p>
    <w:p w14:paraId="59B307EE" w14:textId="77777777" w:rsidR="00547839" w:rsidRDefault="00547839" w:rsidP="00C05EE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sl-SI"/>
        </w:rPr>
      </w:pPr>
    </w:p>
    <w:p w14:paraId="02312CF8" w14:textId="77777777" w:rsidR="00547839" w:rsidRDefault="00547839" w:rsidP="00C05EE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sl-SI"/>
        </w:rPr>
      </w:pPr>
    </w:p>
    <w:p w14:paraId="5E70DE31" w14:textId="44441046" w:rsidR="00C05EEB" w:rsidRPr="00C05EEB" w:rsidRDefault="00C05EEB" w:rsidP="00C05EE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sl-SI"/>
        </w:rPr>
      </w:pPr>
      <w:r w:rsidRPr="00C05EEB">
        <w:rPr>
          <w:rFonts w:asciiTheme="majorHAnsi" w:eastAsia="Times New Roman" w:hAnsiTheme="majorHAnsi" w:cs="Times New Roman"/>
          <w:lang w:eastAsia="sl-SI"/>
        </w:rPr>
        <w:t xml:space="preserve">Datum: </w:t>
      </w:r>
      <w:r w:rsidR="00F622AA">
        <w:rPr>
          <w:rFonts w:asciiTheme="majorHAnsi" w:eastAsia="Times New Roman" w:hAnsiTheme="majorHAnsi" w:cs="Times New Roman"/>
          <w:lang w:eastAsia="sl-SI"/>
        </w:rPr>
        <w:t>25</w:t>
      </w:r>
      <w:r w:rsidR="00266BA9">
        <w:rPr>
          <w:rFonts w:asciiTheme="majorHAnsi" w:eastAsia="Times New Roman" w:hAnsiTheme="majorHAnsi" w:cs="Times New Roman"/>
          <w:lang w:eastAsia="sl-SI"/>
        </w:rPr>
        <w:t>.11.2021</w:t>
      </w:r>
    </w:p>
    <w:p w14:paraId="2B08EB33" w14:textId="77777777" w:rsidR="00C05EEB" w:rsidRDefault="00C05EEB" w:rsidP="00BC3022">
      <w:pPr>
        <w:spacing w:before="100" w:beforeAutospacing="1" w:after="225" w:line="345" w:lineRule="atLeast"/>
        <w:jc w:val="both"/>
        <w:rPr>
          <w:rFonts w:ascii="Open Sans" w:eastAsia="Times New Roman" w:hAnsi="Open Sans" w:cs="Helvetica"/>
          <w:color w:val="34495E"/>
          <w:sz w:val="23"/>
          <w:szCs w:val="23"/>
          <w:lang w:eastAsia="sl-SI"/>
        </w:rPr>
      </w:pPr>
    </w:p>
    <w:p w14:paraId="1033BE80" w14:textId="37980983" w:rsidR="00C05EEB" w:rsidRPr="00453083" w:rsidRDefault="00C05EEB" w:rsidP="00AC195B">
      <w:pPr>
        <w:spacing w:before="100" w:beforeAutospacing="1" w:after="225" w:line="345" w:lineRule="atLeast"/>
        <w:jc w:val="both"/>
        <w:rPr>
          <w:rFonts w:ascii="Open Sans" w:eastAsia="Times New Roman" w:hAnsi="Open Sans" w:cs="Helvetica"/>
          <w:b/>
          <w:sz w:val="23"/>
          <w:szCs w:val="23"/>
          <w:lang w:eastAsia="sl-SI"/>
        </w:rPr>
      </w:pPr>
      <w:r w:rsidRPr="00453083">
        <w:rPr>
          <w:rFonts w:ascii="Open Sans" w:eastAsia="Times New Roman" w:hAnsi="Open Sans" w:cs="Helvetica"/>
          <w:b/>
          <w:sz w:val="23"/>
          <w:szCs w:val="23"/>
          <w:lang w:eastAsia="sl-SI"/>
        </w:rPr>
        <w:t xml:space="preserve">OBVESTILO ZA </w:t>
      </w:r>
      <w:r w:rsidR="00352888" w:rsidRPr="00453083">
        <w:rPr>
          <w:rFonts w:ascii="Open Sans" w:eastAsia="Times New Roman" w:hAnsi="Open Sans" w:cs="Helvetica"/>
          <w:b/>
          <w:sz w:val="23"/>
          <w:szCs w:val="23"/>
          <w:lang w:eastAsia="sl-SI"/>
        </w:rPr>
        <w:t xml:space="preserve"> LASTNIKE (UPRAVLJAVCE) </w:t>
      </w:r>
      <w:r w:rsidRPr="00453083">
        <w:rPr>
          <w:rFonts w:ascii="Open Sans" w:eastAsia="Times New Roman" w:hAnsi="Open Sans" w:cs="Helvetica"/>
          <w:b/>
          <w:sz w:val="23"/>
          <w:szCs w:val="23"/>
          <w:lang w:eastAsia="sl-SI"/>
        </w:rPr>
        <w:t xml:space="preserve"> MALIH KOMUNALNIH ČISTILNIH NAPRAV O PRVIH MERITVAH</w:t>
      </w:r>
      <w:r w:rsidR="003A3B06" w:rsidRPr="00453083">
        <w:rPr>
          <w:rFonts w:ascii="Open Sans" w:eastAsia="Times New Roman" w:hAnsi="Open Sans" w:cs="Helvetica"/>
          <w:b/>
          <w:sz w:val="23"/>
          <w:szCs w:val="23"/>
          <w:lang w:eastAsia="sl-SI"/>
        </w:rPr>
        <w:t xml:space="preserve"> ZA MKČN</w:t>
      </w:r>
      <w:r w:rsidR="00D80201">
        <w:rPr>
          <w:rFonts w:ascii="Open Sans" w:eastAsia="Times New Roman" w:hAnsi="Open Sans" w:cs="Helvetica"/>
          <w:b/>
          <w:sz w:val="23"/>
          <w:szCs w:val="23"/>
          <w:lang w:eastAsia="sl-SI"/>
        </w:rPr>
        <w:t xml:space="preserve"> IN PREGLEDU MKČN</w:t>
      </w:r>
    </w:p>
    <w:p w14:paraId="2C1FE61B" w14:textId="77777777" w:rsidR="00BC3022" w:rsidRDefault="00BC3022" w:rsidP="00BC3022">
      <w:pPr>
        <w:spacing w:before="100" w:beforeAutospacing="1" w:after="0" w:line="345" w:lineRule="atLeast"/>
        <w:jc w:val="both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>
        <w:rPr>
          <w:rFonts w:asciiTheme="majorHAnsi" w:eastAsia="Times New Roman" w:hAnsiTheme="majorHAnsi" w:cs="Helvetica"/>
          <w:sz w:val="23"/>
          <w:szCs w:val="23"/>
          <w:lang w:eastAsia="sl-SI"/>
        </w:rPr>
        <w:t>Spoštovani!</w:t>
      </w:r>
    </w:p>
    <w:p w14:paraId="39CAEAE6" w14:textId="04BFD96D" w:rsidR="00424BDB" w:rsidRPr="00C05EEB" w:rsidRDefault="00547839" w:rsidP="00C05EEB">
      <w:pPr>
        <w:spacing w:before="100" w:beforeAutospacing="1" w:after="0" w:line="345" w:lineRule="atLeast"/>
        <w:jc w:val="both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>
        <w:rPr>
          <w:rFonts w:asciiTheme="majorHAnsi" w:eastAsia="Times New Roman" w:hAnsiTheme="majorHAnsi" w:cs="Helvetica"/>
          <w:sz w:val="23"/>
          <w:szCs w:val="23"/>
          <w:lang w:eastAsia="sl-SI"/>
        </w:rPr>
        <w:t>Predpisi</w:t>
      </w:r>
      <w:r w:rsidR="00424BDB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, ki </w:t>
      </w:r>
      <w:r w:rsidR="00801C9E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na podlagi Zakona o varstvu okolja </w:t>
      </w:r>
      <w:r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podrobneje predpisujejo </w:t>
      </w:r>
      <w:r w:rsidR="00801C9E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ravnanja na </w:t>
      </w:r>
      <w:r w:rsidR="00424BDB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>področj</w:t>
      </w:r>
      <w:r w:rsidR="00801C9E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u </w:t>
      </w:r>
      <w:r w:rsidR="001416FD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odvajanja in čiščenja komunalnih odpadnih vod </w:t>
      </w:r>
      <w:r w:rsidR="001416FD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ter </w:t>
      </w:r>
      <w:r w:rsidR="00424BDB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upravljanja </w:t>
      </w:r>
      <w:r w:rsidR="00487C96"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>male komun</w:t>
      </w:r>
      <w:r w:rsidR="00487C96">
        <w:rPr>
          <w:rFonts w:asciiTheme="majorHAnsi" w:eastAsia="Times New Roman" w:hAnsiTheme="majorHAnsi" w:cs="Helvetica"/>
          <w:sz w:val="23"/>
          <w:szCs w:val="23"/>
          <w:lang w:eastAsia="sl-SI"/>
        </w:rPr>
        <w:t>alne čistilne naprave (</w:t>
      </w:r>
      <w:r w:rsidR="00424BDB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>MKČN</w:t>
      </w:r>
      <w:r w:rsidR="00487C96">
        <w:rPr>
          <w:rFonts w:asciiTheme="majorHAnsi" w:eastAsia="Times New Roman" w:hAnsiTheme="majorHAnsi" w:cs="Helvetica"/>
          <w:sz w:val="23"/>
          <w:szCs w:val="23"/>
          <w:lang w:eastAsia="sl-SI"/>
        </w:rPr>
        <w:t>)</w:t>
      </w:r>
      <w:r w:rsidR="00424BDB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</w:t>
      </w:r>
      <w:r w:rsidR="001416FD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do 50 PE </w:t>
      </w:r>
      <w:r w:rsidR="00424BDB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so naslednji: </w:t>
      </w:r>
    </w:p>
    <w:p w14:paraId="38A23E6A" w14:textId="1039E1C0" w:rsidR="00424BDB" w:rsidRPr="00E25041" w:rsidRDefault="00424BDB" w:rsidP="00C05EEB">
      <w:pPr>
        <w:pStyle w:val="Odstavekseznama"/>
        <w:numPr>
          <w:ilvl w:val="0"/>
          <w:numId w:val="3"/>
        </w:numPr>
        <w:spacing w:before="100" w:beforeAutospacing="1" w:after="0" w:line="345" w:lineRule="atLeast"/>
        <w:jc w:val="both"/>
        <w:rPr>
          <w:rFonts w:asciiTheme="majorHAnsi" w:eastAsia="Times New Roman" w:hAnsiTheme="majorHAnsi" w:cstheme="majorHAnsi"/>
          <w:sz w:val="23"/>
          <w:szCs w:val="23"/>
          <w:lang w:eastAsia="sl-SI"/>
        </w:rPr>
      </w:pPr>
      <w:r w:rsidRPr="00E25041">
        <w:rPr>
          <w:rFonts w:asciiTheme="majorHAnsi" w:eastAsia="Times New Roman" w:hAnsiTheme="majorHAnsi" w:cstheme="majorHAnsi"/>
          <w:sz w:val="23"/>
          <w:szCs w:val="23"/>
          <w:lang w:eastAsia="sl-SI"/>
        </w:rPr>
        <w:t>Uredba o odvajanju in čiščenju komunalne odpadne vode, Ur.l.RS, št. 98/15</w:t>
      </w:r>
      <w:r w:rsidR="003816A8" w:rsidRPr="00E25041">
        <w:rPr>
          <w:rFonts w:asciiTheme="majorHAnsi" w:eastAsia="Times New Roman" w:hAnsiTheme="majorHAnsi" w:cstheme="majorHAnsi"/>
          <w:sz w:val="23"/>
          <w:szCs w:val="23"/>
          <w:lang w:eastAsia="sl-SI"/>
        </w:rPr>
        <w:t xml:space="preserve">, </w:t>
      </w:r>
      <w:r w:rsidR="00E25041" w:rsidRPr="00E25041">
        <w:rPr>
          <w:rFonts w:asciiTheme="majorHAnsi" w:hAnsiTheme="majorHAnsi" w:cstheme="majorHAnsi"/>
        </w:rPr>
        <w:t>Uredbo o dopolnitvi Uredbe o odvajanju in čiščenju komunalne odpadne vode</w:t>
      </w:r>
      <w:r w:rsidR="00E25041">
        <w:rPr>
          <w:rFonts w:asciiTheme="majorHAnsi" w:hAnsiTheme="majorHAnsi" w:cstheme="majorHAnsi"/>
        </w:rPr>
        <w:t xml:space="preserve">, </w:t>
      </w:r>
      <w:r w:rsidR="00E25041" w:rsidRPr="00E25041">
        <w:rPr>
          <w:rFonts w:asciiTheme="majorHAnsi" w:hAnsiTheme="majorHAnsi" w:cstheme="majorHAnsi"/>
        </w:rPr>
        <w:t>Ur</w:t>
      </w:r>
      <w:r w:rsidR="00E25041">
        <w:rPr>
          <w:rFonts w:asciiTheme="majorHAnsi" w:hAnsiTheme="majorHAnsi" w:cstheme="majorHAnsi"/>
        </w:rPr>
        <w:t>.</w:t>
      </w:r>
      <w:r w:rsidR="00E25041" w:rsidRPr="00E25041">
        <w:rPr>
          <w:rFonts w:asciiTheme="majorHAnsi" w:hAnsiTheme="majorHAnsi" w:cstheme="majorHAnsi"/>
        </w:rPr>
        <w:t xml:space="preserve"> </w:t>
      </w:r>
      <w:r w:rsidR="00E25041">
        <w:rPr>
          <w:rFonts w:asciiTheme="majorHAnsi" w:hAnsiTheme="majorHAnsi" w:cstheme="majorHAnsi"/>
        </w:rPr>
        <w:t>L.</w:t>
      </w:r>
      <w:r w:rsidR="00E25041" w:rsidRPr="00E25041">
        <w:rPr>
          <w:rFonts w:asciiTheme="majorHAnsi" w:hAnsiTheme="majorHAnsi" w:cstheme="majorHAnsi"/>
        </w:rPr>
        <w:t>RS, št. 76/17, Uredbo o spremembah in dopolnitvah Uredbe o odvajanju in čiščenju komunalne odpadne vode Ur</w:t>
      </w:r>
      <w:r w:rsidR="00E25041">
        <w:rPr>
          <w:rFonts w:asciiTheme="majorHAnsi" w:hAnsiTheme="majorHAnsi" w:cstheme="majorHAnsi"/>
        </w:rPr>
        <w:t>.l.</w:t>
      </w:r>
      <w:r w:rsidR="00E25041" w:rsidRPr="00E25041">
        <w:rPr>
          <w:rFonts w:asciiTheme="majorHAnsi" w:hAnsiTheme="majorHAnsi" w:cstheme="majorHAnsi"/>
        </w:rPr>
        <w:t>RS, št. 81/19</w:t>
      </w:r>
      <w:r w:rsidR="00E25041">
        <w:rPr>
          <w:rFonts w:asciiTheme="majorHAnsi" w:hAnsiTheme="majorHAnsi" w:cstheme="majorHAnsi"/>
        </w:rPr>
        <w:t>;</w:t>
      </w:r>
    </w:p>
    <w:p w14:paraId="43413F93" w14:textId="77777777" w:rsidR="00BC2E34" w:rsidRPr="00C05EEB" w:rsidRDefault="00BC2E34" w:rsidP="00C05EEB">
      <w:pPr>
        <w:pStyle w:val="Odstavekseznama"/>
        <w:numPr>
          <w:ilvl w:val="0"/>
          <w:numId w:val="3"/>
        </w:numPr>
        <w:spacing w:before="100" w:beforeAutospacing="1" w:after="0" w:line="345" w:lineRule="atLeast"/>
        <w:jc w:val="both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>Pravilnik o prvih meritvah in obratovalnem monitoringu odpadnih voda, Ur.l.RS, št. 94/14, 98/15;</w:t>
      </w:r>
    </w:p>
    <w:p w14:paraId="3930C6CA" w14:textId="77777777" w:rsidR="00424BDB" w:rsidRPr="00C05EEB" w:rsidRDefault="00BC2E34" w:rsidP="00C05EEB">
      <w:pPr>
        <w:pStyle w:val="Odstavekseznama"/>
        <w:numPr>
          <w:ilvl w:val="0"/>
          <w:numId w:val="3"/>
        </w:numPr>
        <w:spacing w:before="100" w:beforeAutospacing="1" w:after="0" w:line="345" w:lineRule="atLeast"/>
        <w:jc w:val="both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Uredba o </w:t>
      </w:r>
      <w:proofErr w:type="spellStart"/>
      <w:r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>okoljski</w:t>
      </w:r>
      <w:proofErr w:type="spellEnd"/>
      <w:r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dajatvi za onesnaževanje okolja zaradi odvajanja odpadnih voda, Ur.l.RS, št. 80/12, 98/15;</w:t>
      </w:r>
    </w:p>
    <w:p w14:paraId="1F470BCD" w14:textId="66DFBC09" w:rsidR="00424BDB" w:rsidRPr="00424BDB" w:rsidRDefault="00424BDB" w:rsidP="00C05EEB">
      <w:pPr>
        <w:spacing w:before="100" w:beforeAutospacing="1" w:after="0" w:line="345" w:lineRule="atLeast"/>
        <w:jc w:val="both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Zakonodaja predpisuje obvezno prijavo/registracijo MKČN do 50 PE pri izvajalcu javne </w:t>
      </w:r>
      <w:r w:rsidR="00801C9E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gospodarske </w:t>
      </w: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>službe, izvedbo prvih meritev ter obveznosti lastnika (upravljavca)</w:t>
      </w:r>
      <w:r w:rsidR="00801C9E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in izvajalca JGS,</w:t>
      </w: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glede prevzema blata, hranitve dokumentacije ter pregled</w:t>
      </w:r>
      <w:r w:rsidR="00801C9E">
        <w:rPr>
          <w:rFonts w:asciiTheme="majorHAnsi" w:eastAsia="Times New Roman" w:hAnsiTheme="majorHAnsi" w:cs="Helvetica"/>
          <w:sz w:val="23"/>
          <w:szCs w:val="23"/>
          <w:lang w:eastAsia="sl-SI"/>
        </w:rPr>
        <w:t>ovanja</w:t>
      </w: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MKČN do 50 PE.</w:t>
      </w:r>
    </w:p>
    <w:p w14:paraId="039C77D7" w14:textId="77777777" w:rsidR="00424BDB" w:rsidRPr="00424BDB" w:rsidRDefault="00BC2E34" w:rsidP="00C05EEB">
      <w:pPr>
        <w:spacing w:before="100" w:beforeAutospacing="1" w:after="0" w:line="345" w:lineRule="atLeast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>Zbornica komunalnega gospodarstva</w:t>
      </w:r>
      <w:r w:rsidR="00424BDB"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Slovenije na svoji </w:t>
      </w:r>
      <w:hyperlink r:id="rId8" w:history="1">
        <w:r w:rsidR="00424BDB" w:rsidRPr="00424BDB">
          <w:rPr>
            <w:rFonts w:asciiTheme="majorHAnsi" w:eastAsia="Times New Roman" w:hAnsiTheme="majorHAnsi" w:cs="Helvetica"/>
            <w:sz w:val="23"/>
            <w:szCs w:val="23"/>
            <w:lang w:eastAsia="sl-SI"/>
          </w:rPr>
          <w:t>spletni strani</w:t>
        </w:r>
      </w:hyperlink>
      <w:r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</w:t>
      </w:r>
      <w:r w:rsidR="00424BDB"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</w:t>
      </w:r>
      <w:hyperlink r:id="rId9" w:history="1">
        <w:r w:rsidR="00FA6B3A" w:rsidRPr="00C05EEB">
          <w:rPr>
            <w:rStyle w:val="Hiperpovezava"/>
            <w:rFonts w:asciiTheme="majorHAnsi" w:eastAsia="Times New Roman" w:hAnsiTheme="majorHAnsi" w:cs="Helvetica"/>
            <w:color w:val="auto"/>
            <w:sz w:val="23"/>
            <w:szCs w:val="23"/>
            <w:lang w:eastAsia="sl-SI"/>
          </w:rPr>
          <w:t>https://www.gzs.si/zbornica_komunalnega_gospodarstva</w:t>
        </w:r>
      </w:hyperlink>
      <w:r w:rsidR="00FA6B3A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,  </w:t>
      </w:r>
      <w:r w:rsidR="00FA6B3A"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>objavlja</w:t>
      </w:r>
      <w:r w:rsidR="00FA6B3A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</w:t>
      </w:r>
      <w:r w:rsidR="00424BDB"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>seznam ustreznih tipskih MKČN do 50 PE. Za te MKČN je bila predložena ustrezna dokumentacija po predpisih o gradbenih proizvodih.  V seznamu navedene MKČN, po mnenju pooblaščenih evropskih laboratorijev, zagotavljajo izpust primerno očiščene komunalne odpadne vode.</w:t>
      </w:r>
    </w:p>
    <w:p w14:paraId="24AE27B5" w14:textId="243F0BAF" w:rsidR="00424BDB" w:rsidRPr="00424BDB" w:rsidRDefault="003A3B06" w:rsidP="00424BDB">
      <w:pPr>
        <w:spacing w:before="100" w:beforeAutospacing="1" w:after="225" w:line="345" w:lineRule="atLeast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>
        <w:rPr>
          <w:rFonts w:asciiTheme="majorHAnsi" w:eastAsia="Times New Roman" w:hAnsiTheme="majorHAnsi" w:cs="Helvetica"/>
          <w:b/>
          <w:bCs/>
          <w:sz w:val="24"/>
          <w:szCs w:val="23"/>
          <w:lang w:eastAsia="sl-SI"/>
        </w:rPr>
        <w:t>P</w:t>
      </w:r>
      <w:r w:rsidRPr="00424BDB">
        <w:rPr>
          <w:rFonts w:asciiTheme="majorHAnsi" w:eastAsia="Times New Roman" w:hAnsiTheme="majorHAnsi" w:cs="Helvetica"/>
          <w:b/>
          <w:bCs/>
          <w:sz w:val="23"/>
          <w:szCs w:val="23"/>
          <w:lang w:eastAsia="sl-SI"/>
        </w:rPr>
        <w:t>ostopek prijave,</w:t>
      </w:r>
      <w:r w:rsidR="00CB1B88">
        <w:rPr>
          <w:rFonts w:asciiTheme="majorHAnsi" w:eastAsia="Times New Roman" w:hAnsiTheme="majorHAnsi" w:cs="Helvetica"/>
          <w:b/>
          <w:bCs/>
          <w:sz w:val="23"/>
          <w:szCs w:val="23"/>
          <w:lang w:eastAsia="sl-SI"/>
        </w:rPr>
        <w:t xml:space="preserve"> začetek obratovanja,</w:t>
      </w:r>
      <w:r w:rsidRPr="00424BDB">
        <w:rPr>
          <w:rFonts w:asciiTheme="majorHAnsi" w:eastAsia="Times New Roman" w:hAnsiTheme="majorHAnsi" w:cs="Helvetica"/>
          <w:b/>
          <w:bCs/>
          <w:sz w:val="23"/>
          <w:szCs w:val="23"/>
          <w:lang w:eastAsia="sl-SI"/>
        </w:rPr>
        <w:t xml:space="preserve"> prve meritve</w:t>
      </w:r>
      <w:r w:rsidR="00CB1B88">
        <w:rPr>
          <w:rFonts w:asciiTheme="majorHAnsi" w:eastAsia="Times New Roman" w:hAnsiTheme="majorHAnsi" w:cs="Helvetica"/>
          <w:b/>
          <w:bCs/>
          <w:sz w:val="23"/>
          <w:szCs w:val="23"/>
          <w:lang w:eastAsia="sl-SI"/>
        </w:rPr>
        <w:t xml:space="preserve"> in pregledi MKČN do 50 PE</w:t>
      </w:r>
    </w:p>
    <w:p w14:paraId="483611DC" w14:textId="77777777" w:rsidR="00424BDB" w:rsidRPr="00424BDB" w:rsidRDefault="00424BDB" w:rsidP="00C05EEB">
      <w:pPr>
        <w:spacing w:before="100" w:beforeAutospacing="1" w:after="0" w:line="345" w:lineRule="atLeast"/>
        <w:jc w:val="both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>Ustreznost obratovanja MKČN do 50 PE se ugotavlja z izvedbo poročila o prvih meritvah oz. poročila o pregledu MKČN ali z analiznim izvidom opravljenih meritev.</w:t>
      </w:r>
    </w:p>
    <w:p w14:paraId="5D580D38" w14:textId="7C5C2236" w:rsidR="00424BDB" w:rsidRPr="00424BDB" w:rsidRDefault="00424BDB" w:rsidP="00F4706A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jc w:val="both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lastRenderedPageBreak/>
        <w:t xml:space="preserve">Lastnik (upravljavec) MKČN do 50 PE mora po vgradnji </w:t>
      </w:r>
      <w:r w:rsidR="00487C96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MKČN </w:t>
      </w:r>
      <w:r w:rsidR="00BC3022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v roku 15</w:t>
      </w: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dni po začetku njenega obratovanja izvajalca javne službe obvestiti </w:t>
      </w:r>
      <w:hyperlink r:id="rId10" w:history="1">
        <w:r w:rsidRPr="00424BDB">
          <w:rPr>
            <w:rFonts w:asciiTheme="majorHAnsi" w:eastAsia="Times New Roman" w:hAnsiTheme="majorHAnsi" w:cs="Helvetica"/>
            <w:sz w:val="23"/>
            <w:szCs w:val="23"/>
            <w:lang w:eastAsia="sl-SI"/>
          </w:rPr>
          <w:t>z</w:t>
        </w:r>
        <w:r w:rsidR="00CB1B88">
          <w:rPr>
            <w:rFonts w:asciiTheme="majorHAnsi" w:eastAsia="Times New Roman" w:hAnsiTheme="majorHAnsi" w:cs="Helvetica"/>
            <w:sz w:val="23"/>
            <w:szCs w:val="23"/>
            <w:lang w:eastAsia="sl-SI"/>
          </w:rPr>
          <w:t xml:space="preserve"> </w:t>
        </w:r>
        <w:r w:rsidR="00CB1B88" w:rsidRPr="00CD389A">
          <w:rPr>
            <w:rFonts w:asciiTheme="majorHAnsi" w:eastAsia="Times New Roman" w:hAnsiTheme="majorHAnsi" w:cs="Helvetica"/>
            <w:sz w:val="23"/>
            <w:szCs w:val="23"/>
            <w:u w:val="single"/>
            <w:lang w:eastAsia="sl-SI"/>
          </w:rPr>
          <w:t>pisnim</w:t>
        </w:r>
        <w:r w:rsidRPr="00CD389A">
          <w:rPr>
            <w:rFonts w:asciiTheme="majorHAnsi" w:eastAsia="Times New Roman" w:hAnsiTheme="majorHAnsi" w:cs="Helvetica"/>
            <w:sz w:val="23"/>
            <w:szCs w:val="23"/>
            <w:u w:val="single"/>
            <w:lang w:eastAsia="sl-SI"/>
          </w:rPr>
          <w:t xml:space="preserve"> obvestilom</w:t>
        </w:r>
      </w:hyperlink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na naslov</w:t>
      </w:r>
      <w:r w:rsidR="00BC2E34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>, Režijski obrat</w:t>
      </w:r>
      <w:r w:rsidR="00487C96" w:rsidRPr="00487C96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</w:t>
      </w:r>
      <w:r w:rsidR="00487C96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>Občin</w:t>
      </w:r>
      <w:r w:rsidR="005A733B">
        <w:rPr>
          <w:rFonts w:asciiTheme="majorHAnsi" w:eastAsia="Times New Roman" w:hAnsiTheme="majorHAnsi" w:cs="Helvetica"/>
          <w:sz w:val="23"/>
          <w:szCs w:val="23"/>
          <w:lang w:eastAsia="sl-SI"/>
        </w:rPr>
        <w:t>e</w:t>
      </w:r>
      <w:r w:rsidR="00487C96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Solčava</w:t>
      </w:r>
      <w:r w:rsidR="00BC2E34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>, Solčava 29, 3335 Solčava</w:t>
      </w: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>.</w:t>
      </w:r>
      <w:r w:rsidR="00CB1B88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</w:t>
      </w:r>
      <w:r w:rsidR="00CD389A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Izvajalec </w:t>
      </w:r>
      <w:r w:rsidR="002417BD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GJS </w:t>
      </w:r>
      <w:r w:rsidR="00CD389A">
        <w:rPr>
          <w:rFonts w:asciiTheme="majorHAnsi" w:eastAsia="Times New Roman" w:hAnsiTheme="majorHAnsi" w:cs="Helvetica"/>
          <w:sz w:val="23"/>
          <w:szCs w:val="23"/>
          <w:lang w:eastAsia="sl-SI"/>
        </w:rPr>
        <w:t>pripravi Obrazec: Obvestilo o začetku obratovanja MKČN do 50 PE</w:t>
      </w:r>
      <w:r w:rsidR="002417BD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in ga posreduje l</w:t>
      </w:r>
      <w:r w:rsidR="002417BD"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>astnik</w:t>
      </w:r>
      <w:r w:rsidR="00597574">
        <w:rPr>
          <w:rFonts w:asciiTheme="majorHAnsi" w:eastAsia="Times New Roman" w:hAnsiTheme="majorHAnsi" w:cs="Helvetica"/>
          <w:sz w:val="23"/>
          <w:szCs w:val="23"/>
          <w:lang w:eastAsia="sl-SI"/>
        </w:rPr>
        <w:t>u</w:t>
      </w:r>
      <w:r w:rsidR="002417BD"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</w:t>
      </w:r>
      <w:r w:rsidR="002417BD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oziroma upravljalcu MKČN. </w:t>
      </w: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>Pravilno izpolnjen obrazec služi za izdelavo poročila o pregledu MKČN.</w:t>
      </w:r>
      <w:r w:rsidR="00F4706A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</w:t>
      </w:r>
    </w:p>
    <w:p w14:paraId="1600178E" w14:textId="7387AE54" w:rsidR="00424BDB" w:rsidRPr="00424BDB" w:rsidRDefault="00424BDB" w:rsidP="00424BDB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jc w:val="both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V prvem letu obratovanja MKČN mora lastnik oz. upravljavec pri </w:t>
      </w:r>
      <w:hyperlink r:id="rId11" w:history="1">
        <w:r w:rsidRPr="00424BDB">
          <w:rPr>
            <w:rFonts w:asciiTheme="majorHAnsi" w:eastAsia="Times New Roman" w:hAnsiTheme="majorHAnsi" w:cs="Helvetica"/>
            <w:sz w:val="23"/>
            <w:szCs w:val="23"/>
            <w:lang w:eastAsia="sl-SI"/>
          </w:rPr>
          <w:t>akreditiranem laboratoriju</w:t>
        </w:r>
      </w:hyperlink>
      <w:r w:rsidR="00387C09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</w:t>
      </w: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naročiti prve meritve iztoka iz naprave in sicer po vzpostavitvi stabilnih obratovalnih razmer, vendar ne prej kot v treh in ne pozneje kot v devetih mesecih po prvem zagonu MKČN. Izvajalec vam bo na podlagi meritev izdal analizni izvid. V kolikor je izvid neustrezen, morate meritve ponoviti</w:t>
      </w:r>
      <w:r w:rsidR="001416FD">
        <w:rPr>
          <w:rFonts w:asciiTheme="majorHAnsi" w:eastAsia="Times New Roman" w:hAnsiTheme="majorHAnsi" w:cs="Helvetica"/>
          <w:sz w:val="23"/>
          <w:szCs w:val="23"/>
          <w:lang w:eastAsia="sl-SI"/>
        </w:rPr>
        <w:t>.</w:t>
      </w:r>
    </w:p>
    <w:p w14:paraId="1C945FE1" w14:textId="77777777" w:rsidR="00424BDB" w:rsidRPr="00424BDB" w:rsidRDefault="00424BDB" w:rsidP="00424BDB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jc w:val="both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V roku 30 dni po pridobitvi skladnega analiznega izvida mora lastnik MKČN izdelati </w:t>
      </w:r>
      <w:hyperlink r:id="rId12" w:history="1">
        <w:r w:rsidRPr="00424BDB">
          <w:rPr>
            <w:rFonts w:asciiTheme="majorHAnsi" w:eastAsia="Times New Roman" w:hAnsiTheme="majorHAnsi" w:cs="Helvetica"/>
            <w:sz w:val="23"/>
            <w:szCs w:val="23"/>
            <w:lang w:eastAsia="sl-SI"/>
          </w:rPr>
          <w:t>Poročilo o prvih meritvah za MKČN do 50 PE</w:t>
        </w:r>
      </w:hyperlink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z zmogljivostjo manjšo od 50 PE in</w:t>
      </w:r>
      <w:r w:rsidR="00BC3022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ga skupaj z analiznim izvidom</w:t>
      </w: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posredovati </w:t>
      </w:r>
      <w:r w:rsidR="00BC3022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izvajalcu  </w:t>
      </w: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javne službe, tj. </w:t>
      </w:r>
      <w:r w:rsidR="00BC2E34" w:rsidRPr="00C05EEB">
        <w:rPr>
          <w:rFonts w:asciiTheme="majorHAnsi" w:eastAsia="Times New Roman" w:hAnsiTheme="majorHAnsi" w:cs="Helvetica"/>
          <w:sz w:val="23"/>
          <w:szCs w:val="23"/>
          <w:lang w:eastAsia="sl-SI"/>
        </w:rPr>
        <w:t>Režijskemu obratu Občine Solčava.</w:t>
      </w:r>
      <w:r w:rsidR="00F4706A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Priložite tudi podpisan obrazec Obvestilo o začetku obratovanja MKČN.</w:t>
      </w:r>
    </w:p>
    <w:p w14:paraId="3F7E3504" w14:textId="09B9914B" w:rsidR="00487C96" w:rsidRPr="00487C96" w:rsidRDefault="00424BDB" w:rsidP="00487C96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jc w:val="both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 w:rsidRPr="00424BDB">
        <w:rPr>
          <w:rFonts w:asciiTheme="majorHAnsi" w:eastAsia="Times New Roman" w:hAnsiTheme="majorHAnsi" w:cs="Helvetica"/>
          <w:sz w:val="23"/>
          <w:szCs w:val="23"/>
          <w:lang w:eastAsia="sl-SI"/>
        </w:rPr>
        <w:t>V prvem naslednjem koledarskem letu po izvedbi prvih meritev (in nato na vsaka 3 leta) izvajalec javne službe opravi pregled MKČN, kjer preveri obratovanje in vzdrževanje MKČN ter način odvajanja komunalne in padavinske odpadne vode. Na podlagi pridobljenih podatkov in terenskega ogleda izvajalec izda poročilo o pregledu. Nadaljnji pregledi MKČN se ne izvedejo, če lastnik v roku za izvedbo pregleda predloži skladne analizne izvide, ki jih je izvedel pooblaščen izvajalec obratovalnega monitoringa.</w:t>
      </w:r>
    </w:p>
    <w:p w14:paraId="085281D4" w14:textId="5BC8E799" w:rsidR="000F39AB" w:rsidRDefault="009A7A35" w:rsidP="00751E1C">
      <w:pPr>
        <w:spacing w:before="100" w:beforeAutospacing="1" w:after="100" w:afterAutospacing="1" w:line="240" w:lineRule="auto"/>
        <w:rPr>
          <w:rStyle w:val="Hiperpovezava"/>
          <w:rFonts w:asciiTheme="majorHAnsi" w:eastAsia="Times New Roman" w:hAnsiTheme="majorHAnsi" w:cs="Helvetica"/>
          <w:sz w:val="23"/>
          <w:szCs w:val="23"/>
          <w:lang w:eastAsia="sl-SI"/>
        </w:rPr>
      </w:pPr>
      <w:r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Seznam akreditiranih laboratorijev za prve meritve najdete na spletni povezavi </w:t>
      </w:r>
      <w:hyperlink r:id="rId13" w:history="1">
        <w:r w:rsidR="002D6A34" w:rsidRPr="006B788D">
          <w:rPr>
            <w:rStyle w:val="Hiperpovezava"/>
            <w:rFonts w:asciiTheme="majorHAnsi" w:eastAsia="Times New Roman" w:hAnsiTheme="majorHAnsi" w:cs="Helvetica"/>
            <w:sz w:val="23"/>
            <w:szCs w:val="23"/>
            <w:lang w:eastAsia="sl-SI"/>
          </w:rPr>
          <w:t>http://okolje.arso.gov.si/onesnazevanje_voda/tables/custom/details/tableId/5/id/3106</w:t>
        </w:r>
      </w:hyperlink>
      <w:r w:rsidR="00624136">
        <w:rPr>
          <w:rStyle w:val="Hiperpovezava"/>
          <w:rFonts w:asciiTheme="majorHAnsi" w:eastAsia="Times New Roman" w:hAnsiTheme="majorHAnsi" w:cs="Helvetica"/>
          <w:sz w:val="23"/>
          <w:szCs w:val="23"/>
          <w:lang w:eastAsia="sl-SI"/>
        </w:rPr>
        <w:t>.</w:t>
      </w:r>
    </w:p>
    <w:p w14:paraId="4569CE38" w14:textId="3F013DD4" w:rsidR="002337FE" w:rsidRPr="002337FE" w:rsidRDefault="00487C96" w:rsidP="00751E1C">
      <w:pPr>
        <w:spacing w:before="100" w:beforeAutospacing="1" w:after="100" w:afterAutospacing="1" w:line="240" w:lineRule="auto"/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u w:val="none"/>
          <w:lang w:eastAsia="sl-SI"/>
        </w:rPr>
      </w:pPr>
      <w:r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u w:val="none"/>
          <w:lang w:eastAsia="sl-SI"/>
        </w:rPr>
        <w:t>Pridobili smo p</w:t>
      </w:r>
      <w:r w:rsidR="002337FE" w:rsidRPr="002337FE"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u w:val="none"/>
          <w:lang w:eastAsia="sl-SI"/>
        </w:rPr>
        <w:t xml:space="preserve">onudbo </w:t>
      </w:r>
      <w:r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u w:val="none"/>
          <w:lang w:eastAsia="sl-SI"/>
        </w:rPr>
        <w:t>Nacionalnega laboratorija za zdravje, okolje in hrano, OOZ Celje</w:t>
      </w:r>
      <w:r w:rsidR="00D708AB"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u w:val="none"/>
          <w:lang w:eastAsia="sl-SI"/>
        </w:rPr>
        <w:t xml:space="preserve">, ki je </w:t>
      </w:r>
      <w:r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u w:val="none"/>
          <w:lang w:eastAsia="sl-SI"/>
        </w:rPr>
        <w:t>na ogled na spletnem naslovu</w:t>
      </w:r>
      <w:r w:rsidR="00D708AB"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u w:val="none"/>
          <w:lang w:eastAsia="sl-SI"/>
        </w:rPr>
        <w:t xml:space="preserve"> </w:t>
      </w:r>
      <w:r w:rsidR="00D708AB" w:rsidRPr="00D708AB"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lang w:eastAsia="sl-SI"/>
        </w:rPr>
        <w:t xml:space="preserve">Občine Solčava – Režijski obrat – odpadne vode </w:t>
      </w:r>
      <w:r w:rsidR="00D708AB"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lang w:eastAsia="sl-SI"/>
        </w:rPr>
        <w:t>–</w:t>
      </w:r>
      <w:r w:rsidR="00D708AB" w:rsidRPr="00D708AB"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lang w:eastAsia="sl-SI"/>
        </w:rPr>
        <w:t xml:space="preserve"> PONUDBA</w:t>
      </w:r>
      <w:r w:rsidR="00D708AB">
        <w:rPr>
          <w:rStyle w:val="Hiperpovezava"/>
          <w:rFonts w:asciiTheme="majorHAnsi" w:eastAsia="Times New Roman" w:hAnsiTheme="majorHAnsi" w:cs="Helvetica"/>
          <w:color w:val="auto"/>
          <w:sz w:val="23"/>
          <w:szCs w:val="23"/>
          <w:lang w:eastAsia="sl-SI"/>
        </w:rPr>
        <w:t>.</w:t>
      </w:r>
    </w:p>
    <w:p w14:paraId="525D4E1A" w14:textId="0C459B9B" w:rsidR="009A7A35" w:rsidRDefault="00E015D9" w:rsidP="00BC3022">
      <w:pPr>
        <w:spacing w:before="100" w:beforeAutospacing="1" w:after="100" w:afterAutospacing="1" w:line="240" w:lineRule="auto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>
        <w:rPr>
          <w:rFonts w:asciiTheme="majorHAnsi" w:eastAsia="Times New Roman" w:hAnsiTheme="majorHAnsi" w:cs="Helvetica"/>
          <w:sz w:val="23"/>
          <w:szCs w:val="23"/>
          <w:lang w:eastAsia="sl-SI"/>
        </w:rPr>
        <w:t>Za dodatne informacije pokličite Režijski obrat Občine Solčava: Rudi Jezernik 03 839 27 58</w:t>
      </w:r>
      <w:r w:rsidR="00266BA9">
        <w:rPr>
          <w:rFonts w:asciiTheme="majorHAnsi" w:eastAsia="Times New Roman" w:hAnsiTheme="majorHAnsi" w:cs="Helvetica"/>
          <w:sz w:val="23"/>
          <w:szCs w:val="23"/>
          <w:lang w:eastAsia="sl-SI"/>
        </w:rPr>
        <w:t>.</w:t>
      </w:r>
    </w:p>
    <w:p w14:paraId="608A16DB" w14:textId="1DB0ADF7" w:rsidR="00BC3022" w:rsidRDefault="00BC3022" w:rsidP="00BC3022">
      <w:pPr>
        <w:spacing w:after="0" w:line="240" w:lineRule="auto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               </w:t>
      </w:r>
    </w:p>
    <w:p w14:paraId="1E0E9501" w14:textId="30770AA6" w:rsidR="00FF3715" w:rsidRDefault="00FF3715" w:rsidP="00BC3022">
      <w:pPr>
        <w:spacing w:after="0" w:line="240" w:lineRule="auto"/>
        <w:rPr>
          <w:rFonts w:asciiTheme="majorHAnsi" w:eastAsia="Times New Roman" w:hAnsiTheme="majorHAnsi" w:cs="Helvetica"/>
          <w:sz w:val="23"/>
          <w:szCs w:val="23"/>
          <w:lang w:eastAsia="sl-SI"/>
        </w:rPr>
      </w:pPr>
    </w:p>
    <w:p w14:paraId="61E0607D" w14:textId="77E2819C" w:rsidR="00FF3715" w:rsidRDefault="00FF3715" w:rsidP="00BC3022">
      <w:pPr>
        <w:spacing w:after="0" w:line="240" w:lineRule="auto"/>
        <w:rPr>
          <w:rFonts w:asciiTheme="majorHAnsi" w:eastAsia="Times New Roman" w:hAnsiTheme="majorHAnsi" w:cs="Helvetica"/>
          <w:sz w:val="23"/>
          <w:szCs w:val="23"/>
          <w:lang w:eastAsia="sl-SI"/>
        </w:rPr>
      </w:pPr>
    </w:p>
    <w:p w14:paraId="47933495" w14:textId="77777777" w:rsidR="00FF3715" w:rsidRDefault="00FF3715" w:rsidP="00BC3022">
      <w:pPr>
        <w:spacing w:after="0" w:line="240" w:lineRule="auto"/>
        <w:rPr>
          <w:rFonts w:asciiTheme="majorHAnsi" w:eastAsia="Times New Roman" w:hAnsiTheme="majorHAnsi" w:cs="Helvetica"/>
          <w:sz w:val="23"/>
          <w:szCs w:val="23"/>
          <w:lang w:eastAsia="sl-SI"/>
        </w:rPr>
      </w:pPr>
    </w:p>
    <w:p w14:paraId="2C9BC07A" w14:textId="69233CB7" w:rsidR="00BC3022" w:rsidRDefault="00FF3715" w:rsidP="00BC3022">
      <w:pPr>
        <w:spacing w:after="0" w:line="240" w:lineRule="auto"/>
        <w:ind w:left="6372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Režijski obrat </w:t>
      </w:r>
      <w:r w:rsidR="00BC3022">
        <w:rPr>
          <w:rFonts w:asciiTheme="majorHAnsi" w:eastAsia="Times New Roman" w:hAnsiTheme="majorHAnsi" w:cs="Helvetica"/>
          <w:sz w:val="23"/>
          <w:szCs w:val="23"/>
          <w:lang w:eastAsia="sl-SI"/>
        </w:rPr>
        <w:t>Občin</w:t>
      </w:r>
      <w:r>
        <w:rPr>
          <w:rFonts w:asciiTheme="majorHAnsi" w:eastAsia="Times New Roman" w:hAnsiTheme="majorHAnsi" w:cs="Helvetica"/>
          <w:sz w:val="23"/>
          <w:szCs w:val="23"/>
          <w:lang w:eastAsia="sl-SI"/>
        </w:rPr>
        <w:t>e</w:t>
      </w:r>
      <w:r w:rsidR="00BC3022">
        <w:rPr>
          <w:rFonts w:asciiTheme="majorHAnsi" w:eastAsia="Times New Roman" w:hAnsiTheme="majorHAnsi" w:cs="Helvetica"/>
          <w:sz w:val="23"/>
          <w:szCs w:val="23"/>
          <w:lang w:eastAsia="sl-SI"/>
        </w:rPr>
        <w:t xml:space="preserve"> Solčava</w:t>
      </w:r>
    </w:p>
    <w:p w14:paraId="55EE4248" w14:textId="77777777" w:rsidR="00BC3022" w:rsidRDefault="00BC3022" w:rsidP="00BC3022">
      <w:pPr>
        <w:spacing w:after="0" w:line="240" w:lineRule="auto"/>
        <w:ind w:left="6372"/>
        <w:rPr>
          <w:rFonts w:asciiTheme="majorHAnsi" w:eastAsia="Times New Roman" w:hAnsiTheme="majorHAnsi" w:cs="Helvetica"/>
          <w:sz w:val="23"/>
          <w:szCs w:val="23"/>
          <w:lang w:eastAsia="sl-SI"/>
        </w:rPr>
      </w:pPr>
      <w:r>
        <w:rPr>
          <w:rFonts w:asciiTheme="majorHAnsi" w:eastAsia="Times New Roman" w:hAnsiTheme="majorHAnsi" w:cs="Helvetica"/>
          <w:sz w:val="23"/>
          <w:szCs w:val="23"/>
          <w:lang w:eastAsia="sl-SI"/>
        </w:rPr>
        <w:t>Županja Katarina Prelesnik</w:t>
      </w:r>
    </w:p>
    <w:sectPr w:rsidR="00BC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C4A"/>
    <w:multiLevelType w:val="multilevel"/>
    <w:tmpl w:val="FFC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F1ACF"/>
    <w:multiLevelType w:val="hybridMultilevel"/>
    <w:tmpl w:val="9084A554"/>
    <w:lvl w:ilvl="0" w:tplc="427CEDF6">
      <w:numFmt w:val="bullet"/>
      <w:lvlText w:val="-"/>
      <w:lvlJc w:val="left"/>
      <w:pPr>
        <w:ind w:left="720" w:hanging="360"/>
      </w:pPr>
      <w:rPr>
        <w:rFonts w:ascii="Open Sans" w:eastAsia="Times New Roman" w:hAnsi="Open Sans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5A0C"/>
    <w:multiLevelType w:val="multilevel"/>
    <w:tmpl w:val="78CE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801130">
    <w:abstractNumId w:val="0"/>
  </w:num>
  <w:num w:numId="2" w16cid:durableId="706953086">
    <w:abstractNumId w:val="2"/>
  </w:num>
  <w:num w:numId="3" w16cid:durableId="161751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9F"/>
    <w:rsid w:val="000339E8"/>
    <w:rsid w:val="00073DA4"/>
    <w:rsid w:val="000F39AB"/>
    <w:rsid w:val="001416FD"/>
    <w:rsid w:val="001B6F04"/>
    <w:rsid w:val="002337FE"/>
    <w:rsid w:val="002417BD"/>
    <w:rsid w:val="00266BA9"/>
    <w:rsid w:val="002D6A34"/>
    <w:rsid w:val="00352888"/>
    <w:rsid w:val="003816A8"/>
    <w:rsid w:val="0038278E"/>
    <w:rsid w:val="00387C09"/>
    <w:rsid w:val="003A3B06"/>
    <w:rsid w:val="0040143A"/>
    <w:rsid w:val="00424BDB"/>
    <w:rsid w:val="00453083"/>
    <w:rsid w:val="00487C96"/>
    <w:rsid w:val="004E180D"/>
    <w:rsid w:val="00547839"/>
    <w:rsid w:val="00597574"/>
    <w:rsid w:val="005A733B"/>
    <w:rsid w:val="00624136"/>
    <w:rsid w:val="0065311A"/>
    <w:rsid w:val="0066488F"/>
    <w:rsid w:val="00751E1C"/>
    <w:rsid w:val="00801C9E"/>
    <w:rsid w:val="008C484B"/>
    <w:rsid w:val="009A7A35"/>
    <w:rsid w:val="00AC195B"/>
    <w:rsid w:val="00B070C8"/>
    <w:rsid w:val="00B42C9F"/>
    <w:rsid w:val="00B87F07"/>
    <w:rsid w:val="00BC2E34"/>
    <w:rsid w:val="00BC3022"/>
    <w:rsid w:val="00C05EEB"/>
    <w:rsid w:val="00CB1B88"/>
    <w:rsid w:val="00CD389A"/>
    <w:rsid w:val="00D708AB"/>
    <w:rsid w:val="00D80201"/>
    <w:rsid w:val="00E015D9"/>
    <w:rsid w:val="00E25041"/>
    <w:rsid w:val="00F26410"/>
    <w:rsid w:val="00F4706A"/>
    <w:rsid w:val="00F622AA"/>
    <w:rsid w:val="00FA6B3A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3C9D"/>
  <w15:chartTrackingRefBased/>
  <w15:docId w15:val="{D03EE06B-82A8-49B1-B55E-BF88BA2F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4BD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A6B3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195B"/>
    <w:rPr>
      <w:rFonts w:ascii="Segoe UI" w:hAnsi="Segoe UI" w:cs="Segoe UI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0F3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4489">
          <w:marLeft w:val="0"/>
          <w:marRight w:val="0"/>
          <w:marTop w:val="13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5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46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56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3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zs.si/zbornica_komunalnega_gospodarstva/Novice/ArticleId/51700/seznam-mkcn-ki-na-dan-18112015-izpolnjujejo-pogoje" TargetMode="External"/><Relationship Id="rId13" Type="http://schemas.openxmlformats.org/officeDocument/2006/relationships/hyperlink" Target="http://okolje.arso.gov.si/onesnazevanje_voda/tables/custom/details/tableId/5/id/310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ina@solcava.si" TargetMode="External"/><Relationship Id="rId12" Type="http://schemas.openxmlformats.org/officeDocument/2006/relationships/hyperlink" Target="http://www.komunala-cerknica.si/wp-content/uploads/2016/09/porocilo-o-prvih-meritvah-mkcn-do-50-p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hyperlink" Target="http://okolje.arso.gov.si/onesnazevanje_voda/tabela/5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://www.komunala-cerknica.si/wp-content/uploads/2016/09/obvestilo-o-zacetku-obratovanja-mkcn-do-50-p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zs.si/zbornica_komunalnega_gospodarstv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</dc:creator>
  <cp:keywords/>
  <dc:description/>
  <cp:lastModifiedBy>Rudi Jezernik</cp:lastModifiedBy>
  <cp:revision>17</cp:revision>
  <cp:lastPrinted>2021-11-26T07:45:00Z</cp:lastPrinted>
  <dcterms:created xsi:type="dcterms:W3CDTF">2021-11-18T07:26:00Z</dcterms:created>
  <dcterms:modified xsi:type="dcterms:W3CDTF">2022-06-29T11:34:00Z</dcterms:modified>
</cp:coreProperties>
</file>